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Helvetica Neue" w:hAnsi="Helvetica Neue" w:eastAsia="Microsoft YaHei"/>
          <w:b/>
          <w:i w:val="0"/>
          <w:color w:val="1D1D1F"/>
          <w:sz w:val="60"/>
        </w:rPr>
        <w:t>AI 大模型 Token 出海</w:t>
      </w:r>
    </w:p>
    <w:p>
      <w:pPr>
        <w:jc w:val="center"/>
      </w:pPr>
      <w:r>
        <w:rPr>
          <w:rFonts w:ascii="Helvetica Neue" w:hAnsi="Helvetica Neue" w:eastAsia="Microsoft YaHei"/>
          <w:b/>
          <w:i w:val="0"/>
          <w:color w:val="0071E3"/>
          <w:sz w:val="44"/>
        </w:rPr>
        <w:t>全球可行性研究与战略规划报告</w:t>
      </w:r>
    </w:p>
    <w:p/>
    <w:p>
      <w:pPr>
        <w:jc w:val="center"/>
      </w:pPr>
      <w:r>
        <w:rPr>
          <w:rFonts w:ascii="Helvetica Neue" w:hAnsi="Helvetica Neue" w:eastAsia="Microsoft YaHei"/>
          <w:b w:val="0"/>
          <w:i w:val="0"/>
          <w:color w:val="6E6E73"/>
          <w:sz w:val="26"/>
        </w:rPr>
        <w:t>—— 把境内绿电与算力转化为可全球交易的数字服务 ——</w:t>
      </w:r>
    </w:p>
    <w:p/>
    <w:p/>
    <w:p/>
    <w:p/>
    <w:p/>
    <w:p/>
    <w:p>
      <w:pPr>
        <w:jc w:val="center"/>
      </w:pPr>
      <w:r>
        <w:rPr>
          <w:rFonts w:ascii="Helvetica Neue" w:hAnsi="Helvetica Neue" w:eastAsia="Microsoft YaHei"/>
          <w:b/>
          <w:i w:val="0"/>
          <w:sz w:val="26"/>
        </w:rPr>
        <w:t>行业级可行性研究 · 面向决策者与投资机构</w:t>
      </w:r>
    </w:p>
    <w:p>
      <w:pPr>
        <w:jc w:val="center"/>
      </w:pPr>
      <w:r>
        <w:rPr>
          <w:rFonts w:ascii="Helvetica Neue" w:hAnsi="Helvetica Neue" w:eastAsia="Microsoft YaHei"/>
          <w:b w:val="0"/>
          <w:i w:val="0"/>
          <w:color w:val="6E6E73"/>
          <w:sz w:val="22"/>
        </w:rPr>
        <w:t>全部关键数据均由可复现 Python 模型计算得出</w:t>
      </w:r>
    </w:p>
    <w:p/>
    <w:p/>
    <w:p/>
    <w:p/>
    <w:p/>
    <w:p>
      <w:pPr>
        <w:jc w:val="center"/>
      </w:pPr>
      <w:r>
        <w:rPr>
          <w:rFonts w:ascii="Helvetica Neue" w:hAnsi="Helvetica Neue" w:eastAsia="Microsoft YaHei"/>
          <w:b w:val="0"/>
          <w:i w:val="0"/>
          <w:color w:val="6E6E73"/>
          <w:sz w:val="21"/>
        </w:rPr>
        <w:t>报告基准时点：2026-06　|　编制：2026 年 06 月　|　版本：v1.0</w:t>
      </w:r>
    </w:p>
    <w:p>
      <w:pPr>
        <w:jc w:val="center"/>
      </w:pPr>
      <w:r>
        <w:rPr>
          <w:rFonts w:ascii="Helvetica Neue" w:hAnsi="Helvetica Neue" w:eastAsia="Microsoft YaHei"/>
          <w:b w:val="0"/>
          <w:i w:val="0"/>
          <w:color w:val="6E6E73"/>
          <w:sz w:val="21"/>
        </w:rPr>
        <w:t>保密级别：对外（正式）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重要声明与编制说明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本报告为面向全球的“AI 大模型 Token 出海”行业级可行性研究与战略规划，定位于为决策者与投资机构提供客观、可检验、可复现的判断依据。报告秉持实事求是原则，区分“公开实测锚点”与“建模假设”，对每一关键数据标注来源与口径，并以保守/基准/乐观三情景驱动，对核心结论开展敏感性分析与蒙特卡洛压力测试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可复现性：报告全部定量结论由开源 Python 模型计算生成（市场规模、Token 经济学、竞争格局、财务评价四大模型），输入假设集中于单一事实源文件，运行一键脚本即可在洁净环境中重建全部数据、图表与本文档，数值完全一致。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重要提示：本报告含前瞻性测算，受技术迭代、价格竞争、跨境合规与地缘政治等不确定性影响，实际结果可能与测算存在差异。文中“代表性运营主体”为用于单位经济与财务测算的建模载体，非特指任何具体公司。数据截至报告基准时点，部分为区间近似或公开报道引述，已在脚注标明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数据来源/说明：本报告所引市场规模、定价、调用量份额、推理成本与商业化实证均来自公开研究报告与主流媒体报道（详见附录A 数据来源清单）。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目录</w:t>
      </w:r>
    </w:p>
    <w:p>
      <w:r>
        <w:fldChar w:fldCharType="begin"/>
        <w:instrText xml:space="preserve">TOC \o "1-3" \h \z \u</w:instrText>
        <w:fldChar w:fldCharType="separate"/>
        <w:t>（在 Word 中按 Ctrl+A 后 F9 更新目录）</w:t>
        <w:fldChar w:fldCharType="end"/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执行摘要</w:t>
      </w:r>
    </w:p>
    <w:p>
      <w:r>
        <w:rPr>
          <w:rFonts w:ascii="Helvetica Neue" w:hAnsi="Helvetica Neue" w:eastAsia="Microsoft YaHei"/>
          <w:b/>
          <w:i w:val="0"/>
          <w:color w:val="0071E3"/>
          <w:sz w:val="25"/>
        </w:rPr>
        <w:t>一、核心结论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Token 出海，是指中国 AI 大模型服务商以 API 形式、按 Token（词元）计费向海外市场提供模型推理服务，本质是把境内电力与算力通过大模型转化为可跨境交易、可全球调用的数字服务贸易。若芯片出口是工业时代的算力出海，Token 出海即 AI 时代的算力出海，且在合规路径下可扩展性更强。本研究判断：该赛道已被公开数据证明具备真实需求与成本优势，在“国产算力降本 + 绿电直供 + 价值链上移 + 合规闭环”的组合策略下具备商业可行性；但纯商品化裸价竞争不可持续，价值变现是首要矛盾。</w:t>
      </w:r>
    </w:p>
    <w:p>
      <w:r>
        <w:rPr>
          <w:rFonts w:ascii="Helvetica Neue" w:hAnsi="Helvetica Neue" w:eastAsia="Microsoft YaHei"/>
          <w:b/>
          <w:i w:val="0"/>
          <w:color w:val="0071E3"/>
          <w:sz w:val="25"/>
        </w:rPr>
        <w:t>二、关键量化发现（均由模型测算，可复现）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市场空间：</w:t>
      </w:r>
      <w:r>
        <w:rPr>
          <w:rFonts w:ascii="Helvetica Neue" w:hAnsi="Helvetica Neue" w:eastAsia="Microsoft YaHei"/>
          <w:sz w:val="22"/>
        </w:rPr>
        <w:t>全球 AI API 市场 2026 年约 $84.2B，基准情景 2030 年增至 $240.3B；其中推理市场 2030 约 $132.2B。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出海机会：</w:t>
      </w:r>
      <w:r>
        <w:rPr>
          <w:rFonts w:ascii="Helvetica Neue" w:hAnsi="Helvetica Neue" w:eastAsia="Microsoft YaHei"/>
          <w:sz w:val="22"/>
        </w:rPr>
        <w:t>中国 Token 出海收入（SOM）由 2026 年约 $0.68B 增至 2030 年约 $2.78B，复合增速约 42.2%。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核心张力：</w:t>
      </w:r>
      <w:r>
        <w:rPr>
          <w:rFonts w:ascii="Helvetica Neue" w:hAnsi="Helvetica Neue" w:eastAsia="Microsoft YaHei"/>
          <w:sz w:val="22"/>
        </w:rPr>
        <w:t>中国在全球“调用量”份额 2030 年达约 21.0%，但“收入”份额仅约 2.1%，价值变现折价约 10.0 倍——赢得流量、却难变现。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成本优势：</w:t>
      </w:r>
      <w:r>
        <w:rPr>
          <w:rFonts w:ascii="Helvetica Neue" w:hAnsi="Helvetica Neue" w:eastAsia="Microsoft YaHei"/>
          <w:sz w:val="22"/>
        </w:rPr>
        <w:t>自下而上测算（经 DeepSeek 公开数据校准，单位成本 $0.112/百万 token 完全吻合），国产 NPU 路线单位成本仅 $0.074/百万 token，毛利率约 83.5%，较进口 H800 路线降本约 39.3%；前沿模型售价是国产成本的数十至两百倍。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竞争格局：</w:t>
      </w:r>
      <w:r>
        <w:rPr>
          <w:rFonts w:ascii="Helvetica Neue" w:hAnsi="Helvetica Neue" w:eastAsia="Microsoft YaHei"/>
          <w:sz w:val="22"/>
        </w:rPr>
        <w:t>开放生态内三阵营 Logit 模型显示，中国开源阵营份额约 51.8%（贴合 OpenRouter 实测峰值），且在 US 前沿大幅降价情景下仍保持韧性。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财务评价：</w:t>
      </w:r>
      <w:r>
        <w:rPr>
          <w:rFonts w:ascii="Helvetica Neue" w:hAnsi="Helvetica Neue" w:eastAsia="Microsoft YaHei"/>
          <w:sz w:val="22"/>
        </w:rPr>
        <w:t>代表性运营主体基准情景 5 年 NPV 约 $195.0M、IRR 约 132.8%、回收期约 3.7 年；蒙特卡洛（含价格战下行）NPV&gt;0 概率约 89.0%。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种子轮回报（“拿到钱”已实现口径，计入创业死亡率与退出流动性）：</w:t>
      </w:r>
      <w:r>
        <w:rPr>
          <w:rFonts w:ascii="Helvetica Neue" w:hAnsi="Helvetica Neue" w:eastAsia="Microsoft YaHei"/>
          <w:sz w:val="22"/>
        </w:rPr>
        <w:t>以投$10M @ 投前$40M（投后$50M、初始20%）入局，基准情景【已实现现金】退出胜率（顺利盈利退出概率）约 7%、未回本概率 P(&lt;1x) 约 93%、盈亏比约 3.5、已实现 MOIC 中位约 0.01x / 均值约 0.36x，P(&gt;3x) 约 4%、P(&gt;10x) 约 0.3%；与中国本土基金 DPI（第5年普遍未回本）及 Correlation/IT桔子经验交叉校验吻合。作为对照，若仅看账面纸面 TVPI（不计能否拿到钱），基准第5年约 4.5x——账面与现金的巨大落差正是早期创投的本质风险。</w:t>
      </w:r>
    </w:p>
    <w:p>
      <w:r>
        <w:rPr>
          <w:rFonts w:ascii="Helvetica Neue" w:hAnsi="Helvetica Neue" w:eastAsia="Microsoft YaHei"/>
          <w:b/>
          <w:i w:val="0"/>
          <w:color w:val="0071E3"/>
          <w:sz w:val="25"/>
        </w:rPr>
        <w:t>三、种子轮资金 1-5 年投资收益（已实现现金 / “拿到钱”口径，基准情景）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关键说明：下列收益为“资金成功退出（真正拿回现金）”口径，已计入创业死亡率与退出流动性（IPO/并购/老股转让的可得概率与折扣），并非账面市值。中国本土现实是：种子投资后 5 年内现金退出极少（IPO 周期普遍 7-10 年），故前几年“拿到钱”的收益极低，主要价值需更长持有期或后续并购/转让兑现。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情景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口径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第1年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第2年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第3年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第4年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第5年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保守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已实现MOIC(倍)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0.02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0.04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保守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-99.60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-88.40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-71.50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-57.30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-47.30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基准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已实现MOIC(倍)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0.17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0.33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基准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-99.50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-83.80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-58.00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-35.60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-19.70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乐观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已实现MOIC(倍)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0.09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0.67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3.41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13.96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乐观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-99.30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-70.10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-12.40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35.90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69.40</w:t>
            </w:r>
          </w:p>
        </w:tc>
      </w:tr>
    </w:tbl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基准情景下，种子轮资金第1年约 0.01x（年化 -100%）、第2年约 0.03x（-84%）、第3年约 0.07x（-58%）、第4年约 0.17x（-36%）、第5年约 0.33x（-20%）；即基准第5年退出的已实现现金年化约 -20%。退出胜率（盈利退出概率）随持有年限上升：第1-5年依次约 0%、1%、2%、4%、8%。诚实提示：单笔种子在 5 年窗口内大概率未回本（P(&lt;1x)≈93%），正回报高度依赖右尾赢家与更长持有期，故应以组合化方式参与。</w:t>
      </w:r>
    </w:p>
    <w:p>
      <w:r>
        <w:rPr>
          <w:rFonts w:ascii="Helvetica Neue" w:hAnsi="Helvetica Neue" w:eastAsia="Microsoft YaHei"/>
          <w:b/>
          <w:i w:val="0"/>
          <w:color w:val="0071E3"/>
          <w:sz w:val="25"/>
        </w:rPr>
        <w:t>四、首要矛盾与战略建议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首要矛盾是“调用量领先”与“价值变现滞后”之间的矛盾。敏感性分析表明，运营主体净现值对“实现 ASP 的下降速度”最敏感，其次为售价水平与单节点产能。据此提出四条战略主线：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成本领先：</w:t>
      </w:r>
      <w:r>
        <w:rPr>
          <w:rFonts w:ascii="Helvetica Neue" w:hAnsi="Helvetica Neue" w:eastAsia="Microsoft YaHei"/>
          <w:sz w:val="22"/>
        </w:rPr>
        <w:t>以国产 NPU + 绿电直供 + 缓存命中与推理优化巩固单位成本护城河；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价值链上移：</w:t>
      </w:r>
      <w:r>
        <w:rPr>
          <w:rFonts w:ascii="Helvetica Neue" w:hAnsi="Helvetica Neue" w:eastAsia="Microsoft YaHei"/>
          <w:sz w:val="22"/>
        </w:rPr>
        <w:t>从裸 token 批发转向 Agent、企业级、长上下文与高价档，抵消商品通缩，稳住实现 ASP；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合规闭环：</w:t>
      </w:r>
      <w:r>
        <w:rPr>
          <w:rFonts w:ascii="Helvetica Neue" w:hAnsi="Helvetica Neue" w:eastAsia="Microsoft YaHei"/>
          <w:sz w:val="22"/>
        </w:rPr>
        <w:t>采用“来数加工/算力留境、服务出境”闭环，满足数据出境评估、出口管制与内容安全义务；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市场分层：</w:t>
      </w:r>
      <w:r>
        <w:rPr>
          <w:rFonts w:ascii="Helvetica Neue" w:hAnsi="Helvetica Neue" w:eastAsia="Microsoft YaHei"/>
          <w:sz w:val="22"/>
        </w:rPr>
        <w:t>优先全球南方（东南亚/南亚/中东），经聚合平台快速获客、再提升直采占比，对冲地缘风险。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第一章　项目背景与定义</w:t>
      </w:r>
    </w:p>
    <w:p>
      <w:pPr>
        <w:pStyle w:val="Heading2"/>
      </w:pPr>
      <w:r>
        <w:rPr>
          <w:rFonts w:ascii="Microsoft YaHei" w:hAnsi="Microsoft YaHei" w:eastAsia="Microsoft YaHei"/>
        </w:rPr>
        <w:t>1.1 什么是 Token 出海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Token 出海是指中国 AI 大模型服务商通过 API 形式、以 Token（词元）计费模式向海外市场提供模型推理服务的数字服务贸易。其本质，是将国内的电力与算力通过大模型“炼化”为标准化、可计量、可跨境交付的数字服务——海外开发者与企业按词元消耗付费，推理在境内数据中心完成，电力与算力留境，仅有价值通过 Token 跨境交付。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这一模式的兴起有明确的时间线：2024 年 5 月 DeepSeek V2 以约 1/100 的定价引爆全球价格体系；2025 年 1 月 DeepSeek R1 对标 OpenAI o1，中国供应商的价格优势被彻底确立；2025 年下半年起，Qwen、Kimi、MiniMax、GLM 等多款模型轮番冲击全球调用量榜单，中国开源阵营进入海外生产环境。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数据来源/说明：The Business Research Company / giiresearch《AI API Global Market Report 2026》：2025 $62.26B → 2026 $84.15B，CAGR 35.2%。 腾讯新闻：昆仑万维 2025 海外收入 51.5/56.6 亿元（91.0%，Q3 升至 93.3%）；QuestMobile：DeepSeek 2026-03 MAU 1.27 亿。</w:t>
      </w:r>
    </w:p>
    <w:p>
      <w:pPr>
        <w:pStyle w:val="Heading2"/>
      </w:pPr>
      <w:r>
        <w:rPr>
          <w:rFonts w:ascii="Microsoft YaHei" w:hAnsi="Microsoft YaHei" w:eastAsia="Microsoft YaHei"/>
        </w:rPr>
        <w:t>1.2 与“模型出海”“芯片出海”的本质区别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过去所谓“模型出海”，多是把模型权重文件部署到海外服务器，底层算力与数据中心也在境外——出口的实为软件 IP，真正的算力消耗与数字服务收入留在了海外。而“芯片出海”受出口管制约束、附加值随设备价格波动。Token 出海的不同在于：它以 API 调用完成交付，属数字服务贸易，把“电力消耗—算力运行—词元生产—数字服务收入”整条价值链留在境内，在合规路径下具更强的可扩展性与价值留存能力。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数据来源/说明：绿电 → 算力 → 词元 → API → 美元回款，实现电力/算力留境、服务出境、价值跨境。 汕头华侨试验区 2026-04 完成全国首个 Token 出海全链路闭环（来数加工：海外数据进数字保税区加工后出口，物理隔离）。</w:t>
      </w:r>
    </w:p>
    <w:p>
      <w:pPr>
        <w:pStyle w:val="Heading2"/>
      </w:pPr>
      <w:r>
        <w:rPr>
          <w:rFonts w:ascii="Microsoft YaHei" w:hAnsi="Microsoft YaHei" w:eastAsia="Microsoft YaHei"/>
        </w:rPr>
        <w:t>1.3 价值链与时代意义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Token 出海构成“绿电 → 算力 → 词元 → API → 美元回款”的完整价值链。它把中国在清洁能源、算力基建与开源模型上的综合优势，转化为面向全球的数字服务出口能力，是 AI 时代“新质生产力”对外输出的典型范式，对优化出口结构、提升数字服务贸易顺差具有战略意义。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第二章　全球市场分析（TAM/SAM/SOM）</w:t>
      </w:r>
    </w:p>
    <w:p>
      <w:pPr>
        <w:pStyle w:val="Heading2"/>
      </w:pPr>
      <w:r>
        <w:rPr>
          <w:rFonts w:ascii="Microsoft YaHei" w:hAnsi="Microsoft YaHei" w:eastAsia="Microsoft YaHei"/>
        </w:rPr>
        <w:t>2.1 市场规模与口径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本研究采用自上而下定值、自下而上定量、二者交叉校验的方法。以全球 AI API 市场为 TAM 主口径，剔除训练等非推理部分得到推理市场；以“开放生态/价格敏感/全球南方”可触达部分为 SAM；以中国 Token 供给可获得份额为 SOM。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493"/>
        <w:gridCol w:w="1493"/>
        <w:gridCol w:w="1493"/>
        <w:gridCol w:w="1493"/>
        <w:gridCol w:w="1493"/>
        <w:gridCol w:w="1493"/>
      </w:tblGrid>
      <w:tr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年份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TAM AI API($bn)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推理市场($bn)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SAM按市价($bn)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中国出海量(万亿token)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SOM出海收入($bn)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2026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84.2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46.3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19.4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1,512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0.68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2027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109.4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60.2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25.3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3,016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0.95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2028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142.2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78.2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32.9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6,332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1.40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2029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184.9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101.7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42.7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13,116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2.02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2030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240.3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132.2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55.5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25,692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2.78</w:t>
            </w:r>
          </w:p>
        </w:tc>
      </w:tr>
    </w:tbl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数据来源/说明：The Business Research Company / giiresearch《AI API Global Market Report 2026》：2025 $62.26B → 2026 $84.15B，CAGR 35.2%。；情景 CAGR 见附录B。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161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1_market_layer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161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　全球 Token 推理市场分层（TAM/SAM/SOM，基准情景）</w:t>
      </w:r>
    </w:p>
    <w:p>
      <w:pPr>
        <w:pStyle w:val="Heading2"/>
      </w:pPr>
      <w:r>
        <w:rPr>
          <w:rFonts w:ascii="Microsoft YaHei" w:hAnsi="Microsoft YaHei" w:eastAsia="Microsoft YaHei"/>
        </w:rPr>
        <w:t>2.2 量价交叉校验：自下而上的现实性检验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为避免单一来源偏差，本研究以全市场“实现混合价”反推全球 Token 年量，与 Google 公开的月处理量做数量级校验；再以中国“廉价混合价”反推中国出海 Token 量，与 OpenRouter 实测的中国月调用量对照。两项校验均落在同一数量级，模型口径成立。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986"/>
        <w:gridCol w:w="2986"/>
        <w:gridCol w:w="2986"/>
      </w:tblGrid>
      <w:tr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年份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反推全球(万亿token/月)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反推中国出海(万亿token/月)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2026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857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126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2027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1,592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251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2028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2,956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528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2029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5,490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1,093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2030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10,195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2,141</w:t>
            </w:r>
          </w:p>
        </w:tc>
      </w:tr>
    </w:tbl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数据来源/说明：Google I/O 2025：跨产品月处理 token 由 9.7 万亿(2024)升至约 480 万亿(2025年中)，用于全球 token 量数量级校验。 钛媒体援引 OpenRouter：截至 2026-02-28 前十模型月 Token 28.7 万亿，国产 14.69 万亿（首次过半）。</w:t>
      </w:r>
    </w:p>
    <w:p>
      <w:pPr>
        <w:pStyle w:val="Heading2"/>
      </w:pPr>
      <w:r>
        <w:rPr>
          <w:rFonts w:ascii="Microsoft YaHei" w:hAnsi="Microsoft YaHei" w:eastAsia="Microsoft YaHei"/>
        </w:rPr>
        <w:t>2.3 需求结构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按场景看，编程/Agent 类需求约占 45%，角色扮演/情感陪伴约 25%，企业 RAG 及其他约 30%。Agent 任务动辄消耗数十万至上百万 Token，按量付费成为开发者主要成本项，对价格高度敏感——这既是中国低价模型的机会，也是价值变现的难点。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数据来源/说明：OpenRouter 100 万亿 Token 报告：编程/Agent 与角色扮演为两大主力场景；DeepSeek 流量超 2/3 为角色扮演。 OpenRouter：亚洲付费使用占比由 13% 翻倍至 31%；简体中文以近 5% 成第二大交互语言。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第三章　行业竞争格局</w:t>
      </w:r>
    </w:p>
    <w:p>
      <w:pPr>
        <w:pStyle w:val="Heading2"/>
      </w:pPr>
      <w:r>
        <w:rPr>
          <w:rFonts w:ascii="Microsoft YaHei" w:hAnsi="Microsoft YaHei" w:eastAsia="Microsoft YaHei"/>
        </w:rPr>
        <w:t>3.1 中国模型的崛起：从 1.2% 到生产级主力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据全球模型聚合平台 OpenRouter 数据，中国模型调用量份额由 2024 年末的约 1.2%，升至 2025 年下半年的约 30%，并在 2026 年初个别周次冲高至 61%。2026 年 4 月某周，中国模型周调用量达 13.0 万亿词元，约为美国同期（3.0 万亿）的 4.27 倍。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2887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3_china_share_path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288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图3　中国模型调用量份额演进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数据来源/说明：36氪/钛媒体援引 OpenRouter：中国模型份额由 2024 末 1.2% → 2025H2 约 30% → 2026-02 个别周次 50%-61%（单月首次过半，达 14.69/28.7 万亿 Token）。 腾讯新闻/OpenRouter：2026-03-30~04-05 周，中国 12.96 万亿词元 vs 美国 3.03 万亿，4.27 倍，连续第 5 周领先。</w:t>
      </w:r>
    </w:p>
    <w:p>
      <w:pPr>
        <w:pStyle w:val="Heading2"/>
      </w:pPr>
      <w:r>
        <w:rPr>
          <w:rFonts w:ascii="Microsoft YaHei" w:hAnsi="Microsoft YaHei" w:eastAsia="Microsoft YaHei"/>
        </w:rPr>
        <w:t>3.2 三阵营竞争与价格-份额模型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将开放/价格敏感生态内的竞争抽象为三阵营：美国前沿（OpenAI/Anthropic/Google，能力领先、价格高）、中国开源（DeepSeek/Qwen/Kimi/GLM/MiniMax，低价、迭代快）、其他开源（Llama/Mistral 等）。采用多项 Logit 模型 U=β_q·质量−β_p·ln(价格)，参数校准使基准份额贴合 OpenRouter 实测。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239"/>
        <w:gridCol w:w="2239"/>
        <w:gridCol w:w="2239"/>
        <w:gridCol w:w="2239"/>
      </w:tblGrid>
      <w:tr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阵营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份额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质量分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混合价($/百万)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美国前沿(闭源)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23.5%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0.95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8.00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中国开源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51.8%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0.82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0.45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其他开源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24.6%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0.70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0.60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49321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7_competition_share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9321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图7　开放生态内三阵营调用量份额（Logit 模型）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数据来源/说明：多项 Logit；参数校准使基准下 CN_open≈52%（贴合 OpenRouter 实测峰值 50-61%）。beta_price&gt;0 体现开发者价格敏感（Agent 任务动辄百万级 Token）。</w:t>
      </w:r>
    </w:p>
    <w:p>
      <w:pPr>
        <w:pStyle w:val="Heading2"/>
      </w:pPr>
      <w:r>
        <w:rPr>
          <w:rFonts w:ascii="Microsoft YaHei" w:hAnsi="Microsoft YaHei" w:eastAsia="Microsoft YaHei"/>
        </w:rPr>
        <w:t>3.3 价格弹性与价格战韧性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价格-份额扫描显示，中国份额对价格的弧弹性约 -0.25（0.30~0.60 区间），在常态价格区间相对稳健。若中国把质量分从 0.82 提升至 0.95（缩小能力差距），份额可升至约 67.3%；若美国前沿发动价格战、降价至 $3/百万，对中国份额冲击仅约 6.7 个百分点，显示深度价格优势构筑的份额韧性。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06587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8_price_sweep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06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图8　价格-份额关系</w:t>
      </w:r>
    </w:p>
    <w:p>
      <w:pPr>
        <w:pStyle w:val="Heading2"/>
      </w:pPr>
      <w:r>
        <w:rPr>
          <w:rFonts w:ascii="Microsoft YaHei" w:hAnsi="Microsoft YaHei" w:eastAsia="Microsoft YaHei"/>
        </w:rPr>
        <w:t>3.4 开源生态护城河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基于阿里通义千问、DeepSeek 等开源模型的全球衍生模型上传量已超过基于美国主流模型者。当东南亚等地的本土语言模型也开始依赖中国模型与工具链时，迁移成本将极高——生态一旦形成，便构成超越单点价格的长期护城河。这是“能力出海”相对“产品出海”的本质跃迁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数据来源/说明：钛媒体/腾讯新闻：国产开源衍生模型上传量超越美国主流模型；东南亚本土模型依赖中国 Token。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第四章　技术可行性与 Token 经济学</w:t>
      </w:r>
    </w:p>
    <w:p>
      <w:pPr>
        <w:pStyle w:val="Heading2"/>
      </w:pPr>
      <w:r>
        <w:rPr>
          <w:rFonts w:ascii="Microsoft YaHei" w:hAnsi="Microsoft YaHei" w:eastAsia="Microsoft YaHei"/>
        </w:rPr>
        <w:t>4.1 自下而上的单位成本模型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以“节点=8 卡”为单位自下而上建模：单位成本 = 总成本/小时 ÷（节点吞吐 × 利用率 × 3600 ÷ 1e6）。总成本含折旧（资本开支按寿命摊销）、电力（功率 × PUE × 电价）与运维加成。模型以 DeepSeek 官方披露的推理经济性校准。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4479"/>
        <w:gridCol w:w="4479"/>
      </w:tblGrid>
      <w:tr>
        <w:tc>
          <w:tcPr>
            <w:tcW w:type="dxa" w:w="447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校验项</w:t>
            </w:r>
          </w:p>
        </w:tc>
        <w:tc>
          <w:tcPr>
            <w:tcW w:type="dxa" w:w="447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数值</w:t>
            </w:r>
          </w:p>
        </w:tc>
      </w:tr>
      <w:tr>
        <w:tc>
          <w:tcPr>
            <w:tcW w:type="dxa" w:w="447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DeepSeek 反推吞吐 (tok/节点/s)</w:t>
            </w:r>
          </w:p>
        </w:tc>
        <w:tc>
          <w:tcPr>
            <w:tcW w:type="dxa" w:w="447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39,610.0000</w:t>
            </w:r>
          </w:p>
        </w:tc>
      </w:tr>
      <w:tr>
        <w:tc>
          <w:tcPr>
            <w:tcW w:type="dxa" w:w="447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DeepSeek 隐含单位成本 ($/百万token)</w:t>
            </w:r>
          </w:p>
        </w:tc>
        <w:tc>
          <w:tcPr>
            <w:tcW w:type="dxa" w:w="447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0.1122</w:t>
            </w:r>
          </w:p>
        </w:tc>
      </w:tr>
      <w:tr>
        <w:tc>
          <w:tcPr>
            <w:tcW w:type="dxa" w:w="447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模型复算单位成本 ($/百万token)</w:t>
            </w:r>
          </w:p>
        </w:tc>
        <w:tc>
          <w:tcPr>
            <w:tcW w:type="dxa" w:w="447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0.1122</w:t>
            </w:r>
          </w:p>
        </w:tc>
      </w:tr>
      <w:tr>
        <w:tc>
          <w:tcPr>
            <w:tcW w:type="dxa" w:w="447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日成本 ($)</w:t>
            </w:r>
          </w:p>
        </w:tc>
        <w:tc>
          <w:tcPr>
            <w:tcW w:type="dxa" w:w="447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87,072.0000</w:t>
            </w:r>
          </w:p>
        </w:tc>
      </w:tr>
      <w:tr>
        <w:tc>
          <w:tcPr>
            <w:tcW w:type="dxa" w:w="447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日 token (十亿)</w:t>
            </w:r>
          </w:p>
        </w:tc>
        <w:tc>
          <w:tcPr>
            <w:tcW w:type="dxa" w:w="447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776.0000</w:t>
            </w:r>
          </w:p>
        </w:tc>
      </w:tr>
    </w:tbl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校验结果：以 DeepSeek 披露的日成本 $87,072、日 Token 776 十亿反推，节点吞吐约 39,610 tok/s，隐含单位成本 $0.1122/百万 token，与模型复算值完全一致，验证方法可靠。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数据来源/说明：DeepSeek 开源周（2025-03-01）官方披露的推理成本-利润测算（H800 租金 $2/h 假设）。</w:t>
      </w:r>
    </w:p>
    <w:p>
      <w:pPr>
        <w:pStyle w:val="Heading2"/>
      </w:pPr>
      <w:r>
        <w:rPr>
          <w:rFonts w:ascii="Microsoft YaHei" w:hAnsi="Microsoft YaHei" w:eastAsia="Microsoft YaHei"/>
        </w:rPr>
        <w:t>4.2 双技术路线与成本优势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对比进口 H800 路线与国产 NPU（昇腾类）路线。基准情景下，国产 NPU 单位成本显著更低，叠加绿电直供，构成中国 Token 的核心成本护城河。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路线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折旧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电力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运维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单位成本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售价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毛利率%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进口H800路线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0.0951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0.0025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0.0244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0.1221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0.45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72.9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国产NPU路线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0.0571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0.0022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0.0148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0.0741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0.45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83.5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1442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4_cost_breakdow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144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图4　Token 单位成本构成与毛利空间（基准）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数据来源/说明：国产 NPU(昇腾 910B 类)单卡资本开支与功耗低于进口卡；硅基流动等以国产算力降本 30-70%。 国内绿电/大工业电价约 0.30-0.50 元/kWh（÷7.1 ≈ $0.042-0.070），绿电直供更低。</w:t>
      </w:r>
    </w:p>
    <w:p>
      <w:pPr>
        <w:pStyle w:val="Heading2"/>
      </w:pPr>
      <w:r>
        <w:rPr>
          <w:rFonts w:ascii="Microsoft YaHei" w:hAnsi="Microsoft YaHei" w:eastAsia="Microsoft YaHei"/>
        </w:rPr>
        <w:t>4.3 成本 vs 主流售价：数量级优势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以国产 NPU 基准单位成本 $0.0741/百万 token 为基准，对照主流模型混合售价：前沿闭源模型售价高达国产成本的数十至两百倍，廉价档亦有数倍空间。这一数量级差异，正是中国把电力与算力“炼化”为高毛利数字服务的经济基础。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74223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5_cost_vs_pric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422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图5　主流模型售价 vs 国产 NPU 单位成本（倍数）</w:t>
      </w:r>
    </w:p>
    <w:p>
      <w:pPr>
        <w:pStyle w:val="Heading2"/>
      </w:pPr>
      <w:r>
        <w:rPr>
          <w:rFonts w:ascii="Microsoft YaHei" w:hAnsi="Microsoft YaHei" w:eastAsia="Microsoft YaHei"/>
        </w:rPr>
        <w:t>4.4 成本敏感性：利用率与电价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单位成本对利用率高度敏感：利用率从 30% 提升至 70%，单位成本可下降逾半；电价则因绿电直供具备进一步下探空间。因此“提高利用率（调度/缓存/弹性）+ 绿电直供”是成本端的两大可执行抓手。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32458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6_cost_sensitivity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324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图6　国产 NPU 路线单位成本敏感性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第五章　商业模式与价值链</w:t>
      </w:r>
    </w:p>
    <w:p>
      <w:pPr>
        <w:pStyle w:val="Heading2"/>
      </w:pPr>
      <w:r>
        <w:rPr>
          <w:rFonts w:ascii="Microsoft YaHei" w:hAnsi="Microsoft YaHei" w:eastAsia="Microsoft YaHei"/>
        </w:rPr>
        <w:t>5.1 三种交付模式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聚合平台分销：</w:t>
      </w:r>
      <w:r>
        <w:rPr>
          <w:rFonts w:ascii="Helvetica Neue" w:hAnsi="Helvetica Neue" w:eastAsia="Microsoft YaHei"/>
          <w:sz w:val="22"/>
        </w:rPr>
        <w:t>经 OpenRouter 等统一 API 平台触达全球 400+ 模型的开发者，平台抽佣约 3-10%；获客快、起量快，是早期主渠道。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企业直采/SDK：</w:t>
      </w:r>
      <w:r>
        <w:rPr>
          <w:rFonts w:ascii="Helvetica Neue" w:hAnsi="Helvetica Neue" w:eastAsia="Microsoft YaHei"/>
          <w:sz w:val="22"/>
        </w:rPr>
        <w:t>面向中大客户提供直连 API、专属 SDK 与 SLA，毛利更高、粘性更强，是中长期价值留存的关键。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来数加工闭环：</w:t>
      </w:r>
      <w:r>
        <w:rPr>
          <w:rFonts w:ascii="Helvetica Neue" w:hAnsi="Helvetica Neue" w:eastAsia="Microsoft YaHei"/>
          <w:sz w:val="22"/>
        </w:rPr>
        <w:t>海外数据进入境内数字保税区加工，加工后数字服务再出口，全流程物理隔离、监管可控，兼顾合规与价值留境。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数据来源/说明：OpenRouter 统一 API 聚合 400+ 模型，平台抽佣约 3%-10%。 汕头华侨试验区 2026-04 完成全国首个 Token 出海全链路闭环（来数加工：海外数据进数字保税区加工后出口，物理隔离）。</w:t>
      </w:r>
    </w:p>
    <w:p>
      <w:pPr>
        <w:pStyle w:val="Heading2"/>
      </w:pPr>
      <w:r>
        <w:rPr>
          <w:rFonts w:ascii="Microsoft YaHei" w:hAnsi="Microsoft YaHei" w:eastAsia="Microsoft YaHei"/>
        </w:rPr>
        <w:t>5.2 定价与价值链上移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纯裸 token 批发将完全暴露于商品通缩（市场商品价年降 20%-40%）。可持续的定价策略是产品结构上移：向 Agent 编排、企业级合规、长上下文、缓存命中与高价档迁移，使运营主体的“实现 ASP”下降速度显著慢于商品价，从而把价格战转化为结构升级。财务模型即以此为基准前提（实现 ASP 年降约 12%）。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数据来源/说明：运营主体实现 ASP 年降；区别于市场商品价(-20%~-40%)。基准 -12% 反映产品结构持续上移（Agent/企业/长上下文/缓存命中/高价档）对冲商品通缩，为可执行的战略前提。</w:t>
      </w:r>
    </w:p>
    <w:p>
      <w:pPr>
        <w:pStyle w:val="Heading2"/>
      </w:pPr>
      <w:r>
        <w:rPr>
          <w:rFonts w:ascii="Microsoft YaHei" w:hAnsi="Microsoft YaHei" w:eastAsia="Microsoft YaHei"/>
        </w:rPr>
        <w:t>5.3 商业化实证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商业化已被实证：昆仑万维 2025 年海外收入 5.15 亿元，占总收入 91.0%（Q3 升至 93.3%）；DeepSeek 2026 年 3 月月活达 1.27 亿，广泛分布于发展中国家。这些实证表明海外付费需求真实且具规模。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数据来源/说明：腾讯新闻：昆仑万维 2025 海外收入 51.5/56.6 亿元（91.0%，Q3 升至 93.3%）；QuestMobile：DeepSeek 2026-03 MAU 1.27 亿。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第六章　目标市场与出海战略</w:t>
      </w:r>
    </w:p>
    <w:p>
      <w:pPr>
        <w:pStyle w:val="Heading2"/>
      </w:pPr>
      <w:r>
        <w:rPr>
          <w:rFonts w:ascii="Microsoft YaHei" w:hAnsi="Microsoft YaHei" w:eastAsia="Microsoft YaHei"/>
        </w:rPr>
        <w:t>6.1 市场分层与进入次序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基于需求强度、价格敏感度、地缘中立性与本地化协同，提出四层市场与进入次序：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986"/>
        <w:gridCol w:w="2986"/>
        <w:gridCol w:w="2986"/>
      </w:tblGrid>
      <w:tr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市场层级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机会逻辑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可检验 KPI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全球南方核心(东南亚/南亚)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DeepSeek MAU 大量分布于印度/印尼；跨境电商/玩具/纺织数字化升级需求；中文+本地语种。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首年东南亚开发者签约数、月活调用 Token、付费转化率。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中东(海湾)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主权 AI 投入大、对中美中立采购、绿能-算力协同。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主权基金/电信运营商合作 LOI 数、本地节点落地。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拉美/非洲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价格敏感、被前沿厂商覆盖不足、增长快。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拉美开发者占比、本地化语言模型调用占比。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发达市场长尾开发者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硅谷开发者已大量'投喂'中国模型(角色扮演/编程);经聚合平台触达。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OpenRouter 上国产模型份额、欧美中小团队直采数。</w:t>
            </w:r>
          </w:p>
        </w:tc>
      </w:tr>
    </w:tbl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数据来源/说明：腾讯/钛媒体/澎湃：DeepSeek 用户分布发展中国家；汕头试点指向东南亚跨境电商等；硅谷开发者大量调用国产模型。</w:t>
      </w:r>
    </w:p>
    <w:p>
      <w:pPr>
        <w:pStyle w:val="Heading2"/>
      </w:pPr>
      <w:r>
        <w:rPr>
          <w:rFonts w:ascii="Microsoft YaHei" w:hAnsi="Microsoft YaHei" w:eastAsia="Microsoft YaHei"/>
        </w:rPr>
        <w:t>6.2 进入策略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先平台、后直采：</w:t>
      </w:r>
      <w:r>
        <w:rPr>
          <w:rFonts w:ascii="Helvetica Neue" w:hAnsi="Helvetica Neue" w:eastAsia="Microsoft YaHei"/>
          <w:sz w:val="22"/>
        </w:rPr>
        <w:t>以聚合平台快速起量验证 PMF，再沉淀直采客户与自有结算，降低平台依赖；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先南方、后长尾：</w:t>
      </w:r>
      <w:r>
        <w:rPr>
          <w:rFonts w:ascii="Helvetica Neue" w:hAnsi="Helvetica Neue" w:eastAsia="Microsoft YaHei"/>
          <w:sz w:val="22"/>
        </w:rPr>
        <w:t>优先全球南方核心市场，再以聚合平台触达发达市场长尾开发者；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本地化协同：</w:t>
      </w:r>
      <w:r>
        <w:rPr>
          <w:rFonts w:ascii="Helvetica Neue" w:hAnsi="Helvetica Neue" w:eastAsia="Microsoft YaHei"/>
          <w:sz w:val="22"/>
        </w:rPr>
        <w:t>多语种与本地场景微调、就近接入与低时延专线，提升留存；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绿电-算力协同出海：</w:t>
      </w:r>
      <w:r>
        <w:rPr>
          <w:rFonts w:ascii="Helvetica Neue" w:hAnsi="Helvetica Neue" w:eastAsia="Microsoft YaHei"/>
          <w:sz w:val="22"/>
        </w:rPr>
        <w:t>与中东等主权 AI、清洁能源富集地区开展算力-绿能协同，形成中立可控的供给节点。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第七章　合规、安全与地缘风险</w:t>
      </w:r>
    </w:p>
    <w:p>
      <w:pPr>
        <w:pStyle w:val="Heading2"/>
      </w:pPr>
      <w:r>
        <w:rPr>
          <w:rFonts w:ascii="Microsoft YaHei" w:hAnsi="Microsoft YaHei" w:eastAsia="Microsoft YaHei"/>
        </w:rPr>
        <w:t>7.1 三大强制合规义务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数据出境安全评估：</w:t>
      </w:r>
      <w:r>
        <w:rPr>
          <w:rFonts w:ascii="Helvetica Neue" w:hAnsi="Helvetica Neue" w:eastAsia="Microsoft YaHei"/>
          <w:sz w:val="22"/>
        </w:rPr>
        <w:t>海外用户数据跨境需满足出境安全评估与最小化留存要求；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出口管制核验：</w:t>
      </w:r>
      <w:r>
        <w:rPr>
          <w:rFonts w:ascii="Helvetica Neue" w:hAnsi="Helvetica Neue" w:eastAsia="Microsoft YaHei"/>
          <w:sz w:val="22"/>
        </w:rPr>
        <w:t>技术与服务出口需进行出口管制核验，避免受控用途与受限实体；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内容安全过滤：</w:t>
      </w:r>
      <w:r>
        <w:rPr>
          <w:rFonts w:ascii="Helvetica Neue" w:hAnsi="Helvetica Neue" w:eastAsia="Microsoft YaHei"/>
          <w:sz w:val="22"/>
        </w:rPr>
        <w:t>推理输入输出需符合内容安全与当地法律的过滤与审计要求。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数据来源/说明：数据出境安全评估、出口管制核验、内容安全过滤为三大强制合规义务。</w:t>
      </w:r>
    </w:p>
    <w:p>
      <w:pPr>
        <w:pStyle w:val="Heading2"/>
      </w:pPr>
      <w:r>
        <w:rPr>
          <w:rFonts w:ascii="Microsoft YaHei" w:hAnsi="Microsoft YaHei" w:eastAsia="Microsoft YaHei"/>
        </w:rPr>
        <w:t>7.2 “来数加工”合规闭环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2026 年 4 月，汕头华侨试验区完成全国首个 Token 出海全链路闭环：海外数据进入数字保税区进行算力加工，加工后数字服务再出口，全流程物理隔离、监管可控，实现“数据从境外来、在专区内处理、结果再回到境外”的相对封闭跨境服务闭环；配套国际数据专线，至新加坡时延低至 32.7ms。该范式为 Token 出海提供了可复制的合规基础设施。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数据来源/说明：汕头华侨试验区 2026-04 完成全国首个 Token 出海全链路闭环（来数加工：海外数据进数字保税区加工后出口，物理隔离）。 广东移动 4.8T 国际数据专线，至新加坡时延低至 32.7ms。</w:t>
      </w:r>
    </w:p>
    <w:p>
      <w:pPr>
        <w:pStyle w:val="Heading2"/>
      </w:pPr>
      <w:r>
        <w:rPr>
          <w:rFonts w:ascii="Microsoft YaHei" w:hAnsi="Microsoft YaHei" w:eastAsia="Microsoft YaHei"/>
        </w:rPr>
        <w:t>7.3 地缘对冲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面对出口管制与地缘不确定性，应以“面向中立/全球南方市场 + 国产算力自主 + 合规闭环 + 多平台分发”组合对冲，降低对单一市场、单一平台与单一硬件来源的依赖。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第八章　财务分析与投资评价</w:t>
      </w:r>
    </w:p>
    <w:p>
      <w:pPr>
        <w:pStyle w:val="Heading2"/>
      </w:pPr>
      <w:r>
        <w:rPr>
          <w:rFonts w:ascii="Microsoft YaHei" w:hAnsi="Microsoft YaHei" w:eastAsia="Microsoft YaHei"/>
        </w:rPr>
        <w:t>8.1 代表性运营主体与建模口径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代表性运营主体：境内绿电直供的 Token 出海推理服务商，以国产 NPU 集群为主、进口卡为辅，经 OpenRouter 类平台 + 直采向全球供给。 模型链条：单节点年化可售 Token = 吞吐×利用率×3600×8760；收入 = 年售 Token×实现 ASP（逐年）；净收入 = 收入扣减聚合平台抽佣；COGS = 现金算力成本加折旧；EBIT = 毛利减期间费用；自由现金流 = 净利加折旧减资本开支；投资评价含 NPV、IRR、回收期与退出 EV/EBIT 终值。</w:t>
      </w:r>
    </w:p>
    <w:p>
      <w:pPr>
        <w:pStyle w:val="Heading2"/>
      </w:pPr>
      <w:r>
        <w:rPr>
          <w:rFonts w:ascii="Microsoft YaHei" w:hAnsi="Microsoft YaHei" w:eastAsia="Microsoft YaHei"/>
        </w:rPr>
        <w:t>8.2 基准情景五年损益与现金流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年份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售出Token(万亿)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净收入($M)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毛利率%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EBIT($M)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资本开支($M)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FCF($M)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47.3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20.5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63.7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4.8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25.9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-15.3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141.9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54.0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70.8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16.6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25.9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1.2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2028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258.6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86.7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68.1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24.3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38.0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5.1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416.3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122.7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65.0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30.8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48.4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12.3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2030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615.0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159.6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65.2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40.2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60.5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16.9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4909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9_finance_pnl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490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图9　基准情景五年损益与现金流</w:t>
      </w:r>
    </w:p>
    <w:p>
      <w:pPr>
        <w:pStyle w:val="Heading2"/>
      </w:pPr>
      <w:r>
        <w:rPr>
          <w:rFonts w:ascii="Microsoft YaHei" w:hAnsi="Microsoft YaHei" w:eastAsia="Microsoft YaHei"/>
        </w:rPr>
        <w:t>8.3 三情景投资评价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情景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NPV($M)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NPV不含终值($M)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IRR%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回收期(年)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累计CapEx($M)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2030净收入($M)</w:t>
            </w:r>
          </w:p>
        </w:tc>
        <w:tc>
          <w:tcPr>
            <w:tcW w:type="dxa" w:w="112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2030 EBIT率%</w:t>
            </w:r>
          </w:p>
        </w:tc>
      </w:tr>
      <w:tr>
        <w:tc>
          <w:tcPr>
            <w:tcW w:type="dxa" w:w="112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保守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-53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-53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n.a.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n.a.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97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-143.9</w:t>
            </w:r>
          </w:p>
        </w:tc>
      </w:tr>
      <w:tr>
        <w:tc>
          <w:tcPr>
            <w:tcW w:type="dxa" w:w="112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基准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195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132.8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3.73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199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160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25.2</w:t>
            </w:r>
          </w:p>
        </w:tc>
      </w:tr>
      <w:tr>
        <w:tc>
          <w:tcPr>
            <w:tcW w:type="dxa" w:w="112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乐观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3,383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541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n.a.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276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843</w:t>
            </w:r>
          </w:p>
        </w:tc>
        <w:tc>
          <w:tcPr>
            <w:tcW w:type="dxa" w:w="112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51.6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30255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0_finance_scenario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3025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图10　三情景净现值（含/不含终值）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口径说明（重要）：本节 NPV/IRR/回收期均为“条件于成功执行”口径，即假设主体成功完成扩张并存活；创业本身的失败概率不在此处计提，而在 8.6 节以“存活层”对种子轮投资人回报单独折算。基准情景含终值 NPV 约 $195.0M、IRR 约 132.8%（条件于成功），但不含终值的 5 年 DCF 仅约 $7.0M——即 5 年窗口内项目近似盈亏平衡，绝大部分价值来自持续经营特许权（终值）。这要求经营者必须在窗口期内建立可持续的份额与价值链地位，方能兑现终值。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数据来源/说明：盈利型 AI 基础设施退出 EV/EBIT 约 6-12x（高增长高确定性取高值），分情景取值。 折现率见附录B。</w:t>
      </w:r>
    </w:p>
    <w:p>
      <w:pPr>
        <w:pStyle w:val="Heading2"/>
      </w:pPr>
      <w:r>
        <w:rPr>
          <w:rFonts w:ascii="Microsoft YaHei" w:hAnsi="Microsoft YaHei" w:eastAsia="Microsoft YaHei"/>
        </w:rPr>
        <w:t>8.4 敏感性分析（龙卷风）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单变量±扰动显示，NPV 对“实现 ASP 年降速度”最敏感，其次为售价水平与单节点产能（吞吐×利用率），再次为期间费用率与节点资本开支。这与战略判断一致：稳住价值变现（ASP）是第一要务。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5733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tornado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573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图11　NPV 敏感性（龙卷风图）</w:t>
      </w:r>
    </w:p>
    <w:p>
      <w:pPr>
        <w:pStyle w:val="Heading2"/>
      </w:pPr>
      <w:r>
        <w:rPr>
          <w:rFonts w:ascii="Microsoft YaHei" w:hAnsi="Microsoft YaHei" w:eastAsia="Microsoft YaHei"/>
        </w:rPr>
        <w:t>8.5 蒙特卡洛压力测试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对 6 个关键变量（售价、利用率、吞吐、电价、份额达成、ASP 年降，后者覆盖价格战 regime）做三角分布抽样，共 20,000 次模拟：NPV 中位数约 $187.6M，P05 约 $-43.1M，P95 约 $557.3M，NPV&gt;0 概率约 89.0%。结论：在合理假设区间内项目大概率创造正价值，但价格战下行情景下存在亏损可能，须以战略主线主动规避。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5385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montecarlo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538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图12　蒙特卡洛 NPV 分布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数据来源/说明：蒙特卡洛对 6 大关键变量做三角分布抽样（端点=保守/乐观，众数=基准），含 ASP 年降以覆盖价格战下行 regime，评估 NPV 分布。</w:t>
      </w:r>
    </w:p>
    <w:p>
      <w:pPr>
        <w:pStyle w:val="Heading2"/>
      </w:pPr>
      <w:r>
        <w:rPr>
          <w:rFonts w:ascii="Microsoft YaHei" w:hAnsi="Microsoft YaHei" w:eastAsia="Microsoft YaHei"/>
        </w:rPr>
        <w:t>8.6 种子轮投资回报与风险（“拿到钱”已实现口径）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在上述代表性主体之上，从风险投资（VC）视角评价【种子轮】投资人的回报。已确认条款：种子轮投资 $10M、投前估值 $40M（投后 $50M、初始持股 20%），其后经 Series A、Series B 两轮融资稀释；全部优先股按 1x 非参与、pari-passu 清算优先权设定。企业股权价值采用与第八章退出口径对齐的隐含 EV/Revenue 倍数法逐年市值标记（入场年市值 = 投后估值，自洽不跳涨；末年与退出 EV/EBIT 对齐）。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核心方法（本次重算的关键）：账面市值并不等于投资人真正能拿回的现金。本节以“资金成功退出（拿到钱）”为头条口径，对账面回报按【创业死亡率 + 退出流动性（IPO/并购/老股转让的可得概率与折扣）】折算，给出真正可兑现的现金回报；账面纸面 TVPI 仅作透明对照。全部存活与流动性参数锚定中国本土退出现实。</w:t>
      </w:r>
    </w:p>
    <w:p>
      <w:r>
        <w:rPr>
          <w:rFonts w:ascii="Helvetica Neue" w:hAnsi="Helvetica Neue" w:eastAsia="Microsoft YaHei"/>
          <w:b/>
          <w:i w:val="0"/>
          <w:sz w:val="22"/>
        </w:rPr>
        <w:t>（1）Cap table 稀释路径（基准情景，as-converted 持股 %）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493"/>
        <w:gridCol w:w="1493"/>
        <w:gridCol w:w="1493"/>
        <w:gridCol w:w="1493"/>
        <w:gridCol w:w="1493"/>
        <w:gridCol w:w="1493"/>
      </w:tblGrid>
      <w:tr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年份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企业股权价值($M)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种子%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A轮%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B轮%</w:t>
            </w:r>
          </w:p>
        </w:tc>
        <w:tc>
          <w:tcPr>
            <w:tcW w:type="dxa" w:w="1493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普通股%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2026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20.00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80.00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2027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130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16.24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18.80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64.96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2028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204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12.55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14.53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22.73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50.19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2029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284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12.55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14.53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22.73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50.19</w:t>
            </w:r>
          </w:p>
        </w:tc>
      </w:tr>
      <w:tr>
        <w:tc>
          <w:tcPr>
            <w:tcW w:type="dxa" w:w="1493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2030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362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12.55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14.53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22.73</w:t>
            </w:r>
          </w:p>
        </w:tc>
        <w:tc>
          <w:tcPr>
            <w:tcW w:type="dxa" w:w="1493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50.19</w:t>
            </w:r>
          </w:p>
        </w:tc>
      </w:tr>
    </w:tbl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基准情景下，企业股权价值由投后 $50M 起步（入场自洽、无瞬时跳涨），种子持股由初始 20% 经两轮稀释至退出时约 12.6%（据实计算）。保守情景因现金缺口大、融资额高，稀释显著更重；乐观情景因募资需求小，稀释温和。</w:t>
      </w:r>
    </w:p>
    <w:p>
      <w:r>
        <w:rPr>
          <w:rFonts w:ascii="Helvetica Neue" w:hAnsi="Helvetica Neue" w:eastAsia="Microsoft YaHei"/>
          <w:b/>
          <w:i w:val="0"/>
          <w:sz w:val="22"/>
        </w:rPr>
        <w:t>（2）三情景 年1-5 种子轮收益：账面纸面 TVPI vs 已实现现金（拿到钱）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1280"/>
        <w:gridCol w:w="1280"/>
        <w:gridCol w:w="1280"/>
        <w:gridCol w:w="1280"/>
        <w:gridCol w:w="1280"/>
        <w:gridCol w:w="1280"/>
        <w:gridCol w:w="1280"/>
      </w:tblGrid>
      <w:tr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情景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口径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第1年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第2年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第3年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第4年</w:t>
            </w:r>
          </w:p>
        </w:tc>
        <w:tc>
          <w:tcPr>
            <w:tcW w:type="dxa" w:w="1280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第5年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保守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账面TVPI(倍)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0.26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0.16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0.09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保守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已实现现金(倍)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0.02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0.04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保守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-99.60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-88.40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-71.50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-57.30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-47.30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基准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账面TVPI(倍)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2.10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2.56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3.56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4.54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基准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已实现现金(倍)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0.03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0.17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0.33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基准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-99.50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-83.80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-58.00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-35.60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-19.70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乐观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账面TVPI(倍)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1.00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4.69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13.45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35.05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84.86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乐观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已实现现金(倍)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0.09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0.67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3.41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13.96</w:t>
            </w:r>
          </w:p>
        </w:tc>
      </w:tr>
      <w:tr>
        <w:tc>
          <w:tcPr>
            <w:tcW w:type="dxa" w:w="1280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乐观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已实现年化(%)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-99.30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-70.10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-12.40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35.90</w:t>
            </w:r>
          </w:p>
        </w:tc>
        <w:tc>
          <w:tcPr>
            <w:tcW w:type="dxa" w:w="1280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69.40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13179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3_seed_moic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131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图13　种子轮逐年 MOIC：已实现现金（实线）vs 账面纸面 TVPI（虚线）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5862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4_seed_annualized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58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图14　种子轮已实现现金年化收益（拿到钱口径，按持有年限）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数据来源/说明：已确认：种子轮 $10M @ 投前 $40M（投后 $50M，初始持股 20%）。 口径A（用户已选）：逐年给出'若该年主动退出可变现现金'。胜率=P(已实现现金MOIC&gt;1)，即真金白银&gt;投入方算赢，账面存活不算赢；年化=已实现MOIC^(1/年)-1；盈亏比=E[MOIC-1|盈利退出]/E[1-MOIC|亏损]。同时保留纸面市值TVPI作透明对照（非头条）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解读：账面 TVPI 在成长情景下逐年攀升（基准第5年约 4.5x），但这是不可直接变现的私募股权账面值；一旦计入“能否、何时、以何折扣拿到现金”，已实现回报大幅回落（基准第5年约 0.33x）。这与全球 VC 第5年 DPI 普遍仅 0.27-0.39x、中国本土基金第5年普遍未回本的现实一致。</w:t>
      </w:r>
    </w:p>
    <w:p>
      <w:r>
        <w:rPr>
          <w:rFonts w:ascii="Helvetica Neue" w:hAnsi="Helvetica Neue" w:eastAsia="Microsoft YaHei"/>
          <w:b/>
          <w:i w:val="0"/>
          <w:sz w:val="22"/>
        </w:rPr>
        <w:t>（3）已实现退出层：本土锚点与第5年现金分解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折算依据（全部公开数据）：IT桔子《2022中国天使投资行业报告》——获天使投资企业死亡率约 31%、进入下一轮约 45%、最终 IPO 仅约 2%；上市周期——成立 5 年内上市仅约 4%、最集中于 10-15 年，天使→独角兽平均 51 个月、独角兽→上市再约 2.75 年（即种子后 5 年内 IPO 现金退出≈0，须靠并购/老股转让兑现）；本土基金 DPI——政府引导基金均值约 0.7（未回本）、7 年 DPI=1 为优秀、9 年为常态；老股转让市场不成熟、折扣较深。据此设三结局（成长/僵尸/死亡）与逐年流动性可得概率 L(t)、折扣：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995"/>
        <w:gridCol w:w="995"/>
        <w:gridCol w:w="995"/>
        <w:gridCol w:w="995"/>
        <w:gridCol w:w="995"/>
        <w:gridCol w:w="995"/>
        <w:gridCol w:w="995"/>
        <w:gridCol w:w="995"/>
        <w:gridCol w:w="995"/>
      </w:tblGrid>
      <w:tr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情景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成长%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僵尸%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死亡%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第5年可变现%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流动性折扣%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账面TVPI(倍)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已实现现金(倍)</w:t>
            </w:r>
          </w:p>
        </w:tc>
        <w:tc>
          <w:tcPr>
            <w:tcW w:type="dxa" w:w="995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已实现年化%</w:t>
            </w:r>
          </w:p>
        </w:tc>
      </w:tr>
      <w:tr>
        <w:tc>
          <w:tcPr>
            <w:tcW w:type="dxa" w:w="995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保守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18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25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57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20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40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0.1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0.04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-47.3</w:t>
            </w:r>
          </w:p>
        </w:tc>
      </w:tr>
      <w:tr>
        <w:tc>
          <w:tcPr>
            <w:tcW w:type="dxa" w:w="995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基准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28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27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45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33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30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4.5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0.33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-19.7</w:t>
            </w:r>
          </w:p>
        </w:tc>
      </w:tr>
      <w:tr>
        <w:tc>
          <w:tcPr>
            <w:tcW w:type="dxa" w:w="995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乐观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40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28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32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50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18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84.9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13.96</w:t>
            </w:r>
          </w:p>
        </w:tc>
        <w:tc>
          <w:tcPr>
            <w:tcW w:type="dxa" w:w="995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69.4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03099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seed_surviva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030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图16　第5年退出：账面 TVPI vs 已实现现金 MOIC（拿到钱折损，按情景）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数据来源/说明：36氪援引上市公司数据：成立→上市最集中 10-15 年(占28.9%)、成立10年以上上市占75%、成立5年内上市仅约3-4%(近年趋零，2021约3%)；36氪/虎嗅：天使→独角兽平均51个月、独角兽→上市再平均2.75年 → 种子投资后5年内 IPO 现金退出≈0，须靠并购/老股转让兑现。 界面/清科：政府引导基金均值 DPI≈0.7（未回本），7年DPI=1为优秀标杆、9年为常态，2013年后成立基金多数 DPI&lt;1、中位约十年回本；AVP/Carta/thevcfactory：全球 VC 平均第8年才到 1x DPI，第5年 DPI 常仅 0.27-0.39x（即便最终8-11x的优秀基金，year-5 DPI 亦低）。 锚定本土现实：种子后5年内 IPO 现金退出≈0（成立5年内上市仅约3-4%且种子在成立约2年后入场）；现金主要来自并购(占退出≈30%)与老股转让(市场不成熟、2024同比-15.5%)；对照全球 VC 第5年 DPI 仅 0.27-0.39x、第8年才到1x。故第5年成长企业可变现概率保守0.20/基准0.33/乐观0.50，且早年极低（liquidity_shape）。</w:t>
      </w:r>
    </w:p>
    <w:p>
      <w:r>
        <w:rPr>
          <w:rFonts w:ascii="Helvetica Neue" w:hAnsi="Helvetica Neue" w:eastAsia="Microsoft YaHei"/>
          <w:b/>
          <w:i w:val="0"/>
          <w:sz w:val="22"/>
        </w:rPr>
        <w:t>（4）已实现现金蒙特卡洛：胜率、盈亏比、年化与逐年退出概率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在第 8.5 节同一套 6 变量三角抽样与固定随机种子之上叠加已实现退出层，共 20,000 次模拟，得到第 5 年退出的【已实现现金】MOIC 分布。下表并列“账面纸面”（不计能否拿到钱）与“已实现现金”（拿到钱）两口径，差距即流动性与死亡率的代价：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986"/>
        <w:gridCol w:w="2986"/>
        <w:gridCol w:w="2986"/>
      </w:tblGrid>
      <w:tr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指标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账面纸面(对照)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9"/>
              </w:rPr>
              <w:t>已实现现金(拿到钱·头条)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胜率 P(MOIC&gt;1)=盈利退出概率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84%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7%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未回本 P(MOIC&lt;1x)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15%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93%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盈亏比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13.9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3.5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MOIC 中位 / 均值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4.28x / 5.11x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0.01x / 0.36x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年化 中位 / 均值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34% / 31%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-57% / -62%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P(&gt;3x) / P(&gt;5x) / P(&gt;10x)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64% / 43% / 12%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9"/>
              </w:rPr>
              <w:t>4.4% / 2.4% / 0.3%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27937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5_seed_montecarlo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2793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图15　种子轮第5年【已实现现金】MOIC 分布（拿到钱口径）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逐年退出胜率（已实现现金 MOIC&gt;1 的概率）随持有年限上升：第1年 0%、第2年 1%、第3年 2%、第4年 4%、第5年 8%——这正是私募股权 DPI 的 J 曲线，早年几乎无法变现，价值需更长持有期或后续并购/转让兑现。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交叉校验：将本模型已实现现金分布与中国本土基金 DPI 及 VC 经验分布对照，验证标定的公允性——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239"/>
        <w:gridCol w:w="2239"/>
        <w:gridCol w:w="2239"/>
        <w:gridCol w:w="2239"/>
      </w:tblGrid>
      <w:tr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现金回报区间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本模型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经验区间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来源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P(已实现&lt;1x) 未回本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93%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约0.80-0.93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本土：政府引导基金均值DPI≈0.7、2013年后多数基金DPI&lt;1（本土处区间高位）；全球VC第5年DPI仅0.27-0.39x→多数未回本。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P(已实现≥1x) 现金回本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7%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约0.08-0.20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5年窗口内现金回本属少数（IPO≈0、靠并购/老股转让）；对照IT桔子天使→IPO仅2%(终生)。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P(已实现≥3x) 重仓赢家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4%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约0.04-0.08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Correlation：约5%笔数≥10x、20-30%回1-5x；5年窗口现金兑现进一步压低。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3167246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seed_xvalidation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672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Helvetica Neue" w:hAnsi="Helvetica Neue" w:eastAsia="Microsoft YaHei"/>
          <w:b/>
          <w:color w:val="6E6E73"/>
          <w:sz w:val="19"/>
        </w:rPr>
        <w:t>图17　已实现现金分布交叉校验：本模型 vs 本土DPI/VC经验</w:t>
      </w:r>
    </w:p>
    <w:p>
      <w:pPr>
        <w:spacing w:after="160"/>
      </w:pPr>
      <w:r>
        <w:rPr>
          <w:rFonts w:ascii="Helvetica Neue" w:hAnsi="Helvetica Neue" w:eastAsia="Microsoft YaHei"/>
          <w:i/>
          <w:color w:val="6E6E73"/>
          <w:sz w:val="17"/>
        </w:rPr>
        <w:t>数据来源/说明：界面/清科：政府引导基金均值 DPI≈0.7（未回本），7年DPI=1为优秀标杆、9年为常态，2013年后成立基金多数 DPI&lt;1、中位约十年回本；AVP/Carta/thevcfactory：全球 VC 平均第8年才到 1x DPI，第5年 DPI 常仅 0.27-0.39x（即便最终8-11x的优秀基金，year-5 DPI 亦低）。 Correlation Ventures：约半数资本、约2/3笔交易回报&lt;1x；&lt;4%资本达≥10x。典型组合：60-70%回报≤1x、20-30%回1-5x、约5%回≥10x（幂律右偏）。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结论与诚实提示：(a) 以“拿到钱”口径计，种子轮第5年退出胜率（顺利盈利退出概率）约 7%、未回本概率约 93%、已实现 MOIC 中位约 0.01x、均值约 0.36x、年化中位约 -57%、盈亏比约 3.5；(b) 账面 TVPI 与已实现现金的巨大落差，根因是中国种子在 5 年窗口内现金退出极少（IPO 周期长、并购薄、老股转让不成熟）；(c) 模型分布落入本土 DPI 与 Correlation 经验区间，标定可信；(d) 1x 清算优先权仅对下行提供有限保护，且需有买方/退出窗口方能兑现；(e) 单笔种子大概率未回本，正回报高度依赖右尾赢家与更长持有期，应以组合化、并预留更长退出周期的方式参与早期创投。以上均为如实呈现。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第九章　风险评估与应对矩阵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239"/>
        <w:gridCol w:w="2239"/>
        <w:gridCol w:w="2239"/>
        <w:gridCol w:w="2239"/>
      </w:tblGrid>
      <w:tr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风险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概率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影响</w:t>
            </w:r>
          </w:p>
        </w:tc>
        <w:tc>
          <w:tcPr>
            <w:tcW w:type="dxa" w:w="2239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应对措施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地缘政治与出口管制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高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高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来数加工合规闭环、数据物理隔离、面向中立/全球南方市场对冲、合规出口核验。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数据跨境合规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高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高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数据出境安全评估、数字保税区、最小化数据留存、内容安全过滤。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价格战与毛利压缩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高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国产 NPU + 绿电降本、缓存命中优化、向高价值 Agent/企业场景升级。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前沿能力差距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开源生态绑定迁移成本、垂直/多语种微调、快迭代。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客户集中与平台依赖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提升直采占比、自建结算与 SDK、多平台分发。</w:t>
            </w:r>
          </w:p>
        </w:tc>
      </w:tr>
      <w:tr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汇率与回款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中</w:t>
            </w:r>
          </w:p>
        </w:tc>
        <w:tc>
          <w:tcPr>
            <w:tcW w:type="dxa" w:w="2239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低</w:t>
            </w:r>
          </w:p>
        </w:tc>
        <w:tc>
          <w:tcPr>
            <w:tcW w:type="dxa" w:w="2239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美元计价、跨境结算合规通道、汇率对冲。</w:t>
            </w:r>
          </w:p>
        </w:tc>
      </w:tr>
    </w:tbl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总体判断：核心风险集中于地缘政治、数据合规与价格战。前两者以“来数加工合规闭环 + 面向中立市场”对冲，后者以“成本领先 + 价值链上移”化解。风险可控、可治本。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第十章　实施路线图与阶段目标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遵循“先定可分解的阶段目标，再用客观可检验标准衡量结果”的原则，制定三阶段路线图：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986"/>
        <w:gridCol w:w="2986"/>
        <w:gridCol w:w="2986"/>
      </w:tblGrid>
      <w:tr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阶段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阶段目标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8"/>
              </w:rPr>
              <w:t>客观可检验标准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阶段一 验证（0-12月）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跑通合规闭环+聚合平台起量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完成数据出境评估；接入≥2聚合平台；月调用量达标；首批海外付费客户与美元回款。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阶段二 规模（12-30月）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国产NPU集群扩张+直采占比提升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集群达基准节点计划；直采收入占比≥40%；毛利率≥60%；现金流转正。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阶段三 升级（30-60月）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价值链上移+多市场布局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8"/>
              </w:rPr>
              <w:t>Agent/企业级收入占比显著提升；实现ASP年降≤12%；进入≥3区域市场；达成基准NPV/IRR目标。</w:t>
            </w:r>
          </w:p>
        </w:tc>
      </w:tr>
    </w:tbl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贯穿三阶段，坚持主动复盘纠错：建立月度指标看板（利用率、实现 ASP、毛利率、合规事件、客户集中度），小问题早处理，既纠错又治本。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第十一章　结论与建议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综合市场、技术、竞争、合规与财务五维论证，本研究结论如下：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机会真实且具规模：</w:t>
      </w:r>
      <w:r>
        <w:rPr>
          <w:rFonts w:ascii="Helvetica Neue" w:hAnsi="Helvetica Neue" w:eastAsia="Microsoft YaHei"/>
          <w:sz w:val="22"/>
        </w:rPr>
        <w:t>中国 Token 出海收入 2030 年基准约 $2.78B，复合增速约 42.2%。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成本优势确凿：</w:t>
      </w:r>
      <w:r>
        <w:rPr>
          <w:rFonts w:ascii="Helvetica Neue" w:hAnsi="Helvetica Neue" w:eastAsia="Microsoft YaHei"/>
          <w:sz w:val="22"/>
        </w:rPr>
        <w:t>国产 NPU+绿电单位成本约 $0.0741/百万 token，毛利率约 83.5%，经 DeepSeek 公开数据校准可靠。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商业可行但有前提：</w:t>
      </w:r>
      <w:r>
        <w:rPr>
          <w:rFonts w:ascii="Helvetica Neue" w:hAnsi="Helvetica Neue" w:eastAsia="Microsoft YaHei"/>
          <w:sz w:val="22"/>
        </w:rPr>
        <w:t>基准 NPV 约 $195.0M、IRR 约 132.8%（条件于成功执行），但价值高度依赖持续经营，须在窗口期建立份额与价值链地位。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种子轮回报以“拿到钱”口径如实呈现：</w:t>
      </w:r>
      <w:r>
        <w:rPr>
          <w:rFonts w:ascii="Helvetica Neue" w:hAnsi="Helvetica Neue" w:eastAsia="Microsoft YaHei"/>
          <w:sz w:val="22"/>
        </w:rPr>
        <w:t>计入创业死亡率与退出流动性后，种子轮第5年【已实现现金】退出胜率约 7%、已实现 MOIC 中位约 0.01x、均值约 0.36x、年化中位约 -57%（账面纸面 TVPI 基准第5年约 4.5x）——中国种子 5 年窗口内现金退出极少，正回报依赖右尾赢家与更长持有期，宜组合化、留足退出周期参与。</w:t>
      </w:r>
    </w:p>
    <w:p>
      <w:pPr>
        <w:pStyle w:val="ListBullet"/>
      </w:pPr>
      <w:r>
        <w:rPr>
          <w:rFonts w:ascii="Helvetica Neue" w:hAnsi="Helvetica Neue" w:eastAsia="Microsoft YaHei"/>
          <w:b/>
          <w:sz w:val="22"/>
        </w:rPr>
        <w:t>首要矛盾明确：</w:t>
      </w:r>
      <w:r>
        <w:rPr>
          <w:rFonts w:ascii="Helvetica Neue" w:hAnsi="Helvetica Neue" w:eastAsia="Microsoft YaHei"/>
          <w:sz w:val="22"/>
        </w:rPr>
        <w:t>赢“调用量”、难变现“收入”。稳住实现 ASP（价值链上移）是决定成败的第一杠杆。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总建议：以“成本领先 + 价值链上移 + 合规闭环 + 市场分层”四线并举，先在全球南方跑通闭环与正现金流，再以开源生态与直采沉淀护城河，把“流量领先”稳步转化为“价值领先”。该路径实事求是、可执行、经得起检验。</w:t>
      </w:r>
    </w:p>
    <w:p>
      <w:r>
        <w:br w:type="page"/>
      </w:r>
    </w:p>
    <w:p>
      <w:pPr>
        <w:pStyle w:val="Heading1"/>
      </w:pPr>
      <w:r>
        <w:rPr>
          <w:rFonts w:ascii="Microsoft YaHei" w:hAnsi="Microsoft YaHei" w:eastAsia="Microsoft YaHei"/>
        </w:rPr>
        <w:t>附录 A　数据来源清单</w:t>
      </w:r>
    </w:p>
    <w:p>
      <w:r>
        <w:rPr>
          <w:rFonts w:ascii="Helvetica Neue" w:hAnsi="Helvetica Neue" w:eastAsia="Microsoft YaHei"/>
          <w:sz w:val="19"/>
        </w:rPr>
        <w:t>[A1] The Business Research Company / giiresearch《AI API Global Market Report 2026》：2025 $62.26B → 2026 $84.15B，CAGR 35.2%。</w:t>
      </w:r>
    </w:p>
    <w:p>
      <w:r>
        <w:rPr>
          <w:rFonts w:ascii="Helvetica Neue" w:hAnsi="Helvetica Neue" w:eastAsia="Microsoft YaHei"/>
          <w:sz w:val="19"/>
        </w:rPr>
        <w:t>[A2] giiresearch《LLM Cloud Service Global Market Report 2026》：2025 $12.28B → 2026 $15.21B，CAGR 23.9%。</w:t>
      </w:r>
    </w:p>
    <w:p>
      <w:r>
        <w:rPr>
          <w:rFonts w:ascii="Helvetica Neue" w:hAnsi="Helvetica Neue" w:eastAsia="Microsoft YaHei"/>
          <w:sz w:val="19"/>
        </w:rPr>
        <w:t>[A3] Technavio《AI API Market 2026-2030》：2026-2030 增量 $121.73B，CAGR 26.3%，25-26 同比 20.9%。</w:t>
      </w:r>
    </w:p>
    <w:p>
      <w:r>
        <w:rPr>
          <w:rFonts w:ascii="Helvetica Neue" w:hAnsi="Helvetica Neue" w:eastAsia="Microsoft YaHei"/>
          <w:sz w:val="19"/>
        </w:rPr>
        <w:t>[A4] 36氪/钛媒体援引 OpenRouter：中国模型份额由 2024 末 1.2% → 2025H2 约 30% → 2026-02 个别周次 50%-61%（单月首次过半，达 14.69/28.7 万亿 Token）。</w:t>
      </w:r>
    </w:p>
    <w:p>
      <w:r>
        <w:rPr>
          <w:rFonts w:ascii="Helvetica Neue" w:hAnsi="Helvetica Neue" w:eastAsia="Microsoft YaHei"/>
          <w:sz w:val="19"/>
        </w:rPr>
        <w:t>[A5] 腾讯新闻/OpenRouter：2026-03-30~04-05 周，中国 12.96 万亿词元 vs 美国 3.03 万亿，4.27 倍，连续第 5 周领先。</w:t>
      </w:r>
    </w:p>
    <w:p>
      <w:r>
        <w:rPr>
          <w:rFonts w:ascii="Helvetica Neue" w:hAnsi="Helvetica Neue" w:eastAsia="Microsoft YaHei"/>
          <w:sz w:val="19"/>
        </w:rPr>
        <w:t>[A6] 钛媒体援引 OpenRouter：截至 2026-02-28 前十模型月 Token 28.7 万亿，国产 14.69 万亿（首次过半）。</w:t>
      </w:r>
    </w:p>
    <w:p>
      <w:r>
        <w:rPr>
          <w:rFonts w:ascii="Helvetica Neue" w:hAnsi="Helvetica Neue" w:eastAsia="Microsoft YaHei"/>
          <w:sz w:val="19"/>
        </w:rPr>
        <w:t>[A7] Google I/O 2025：跨产品月处理 token 由 9.7 万亿(2024)升至约 480 万亿(2025年中)，用于全球 token 量数量级校验。</w:t>
      </w:r>
    </w:p>
    <w:p>
      <w:r>
        <w:rPr>
          <w:rFonts w:ascii="Helvetica Neue" w:hAnsi="Helvetica Neue" w:eastAsia="Microsoft YaHei"/>
          <w:sz w:val="19"/>
        </w:rPr>
        <w:t>[A8] analysis-atlas / 钛媒体 / 各厂商定价页（2026 年中）：2025→2026 token 价格约降 80%；MiniMax-M2.5 输出≈$1.1/百万、GLM-5≈$2.55/百万、Claude Opus4.6=$25/百万；Qwen3.5≈0.8 元/百万。</w:t>
      </w:r>
    </w:p>
    <w:p>
      <w:r>
        <w:rPr>
          <w:rFonts w:ascii="Helvetica Neue" w:hAnsi="Helvetica Neue" w:eastAsia="Microsoft YaHei"/>
          <w:sz w:val="19"/>
        </w:rPr>
        <w:t>[A9] DeepSeek 开源周（2025-03-01）官方披露的推理成本-利润测算（H800 租金 $2/h 假设）。</w:t>
      </w:r>
    </w:p>
    <w:p>
      <w:r>
        <w:rPr>
          <w:rFonts w:ascii="Helvetica Neue" w:hAnsi="Helvetica Neue" w:eastAsia="Microsoft YaHei"/>
          <w:sz w:val="19"/>
        </w:rPr>
        <w:t>[A10] 腾讯新闻：昆仑万维 2025 海外收入 51.5/56.6 亿元（91.0%，Q3 升至 93.3%）；QuestMobile：DeepSeek 2026-03 MAU 1.27 亿。</w:t>
      </w:r>
    </w:p>
    <w:p>
      <w:r>
        <w:rPr>
          <w:rFonts w:ascii="Helvetica Neue" w:hAnsi="Helvetica Neue" w:eastAsia="Microsoft YaHei"/>
          <w:sz w:val="19"/>
        </w:rPr>
        <w:t>[A11] 汕头华侨试验区 2026-04 完成全国首个 Token 出海全链路闭环（来数加工：海外数据进数字保税区加工后出口，物理隔离）。</w:t>
      </w:r>
    </w:p>
    <w:p>
      <w:r>
        <w:rPr>
          <w:rFonts w:ascii="Helvetica Neue" w:hAnsi="Helvetica Neue" w:eastAsia="Microsoft YaHei"/>
          <w:sz w:val="19"/>
        </w:rPr>
        <w:t>[A12] 广东移动 4.8T 国际数据专线，至新加坡时延低至 32.7ms。</w:t>
      </w:r>
    </w:p>
    <w:p>
      <w:r>
        <w:rPr>
          <w:rFonts w:ascii="Helvetica Neue" w:hAnsi="Helvetica Neue" w:eastAsia="Microsoft YaHei"/>
          <w:sz w:val="19"/>
        </w:rPr>
        <w:t>[A13] IT桔子《2022中国天使投资行业报告》：获天使投资企业死亡率≈31%（破产/注销/宣布倒闭/产品官网下线，或5年未获新融资经人工核实）。</w:t>
      </w:r>
    </w:p>
    <w:p>
      <w:r>
        <w:rPr>
          <w:rFonts w:ascii="Helvetica Neue" w:hAnsi="Helvetica Neue" w:eastAsia="Microsoft YaHei"/>
          <w:sz w:val="19"/>
        </w:rPr>
        <w:t>[A14] 财新/吴晓波援引国家企业数据：新设企业1年存活92%、3年76%、10年50.3%。</w:t>
      </w:r>
    </w:p>
    <w:p>
      <w:r>
        <w:rPr>
          <w:rFonts w:ascii="Helvetica Neue" w:hAnsi="Helvetica Neue" w:eastAsia="Microsoft YaHei"/>
          <w:sz w:val="19"/>
        </w:rPr>
        <w:t>[A15] Carta：种子→A轮2年晋级率 30.6%(2018Q1)→15.4%(2022Q1)；Crunchbase：近期队列(2023/2024) 16%-24%，历史最终晋级 45%-55%；AI 赛道估值与晋级高于非AI。</w:t>
      </w:r>
    </w:p>
    <w:p>
      <w:r>
        <w:rPr>
          <w:rFonts w:ascii="Helvetica Neue" w:hAnsi="Helvetica Neue" w:eastAsia="Microsoft YaHei"/>
          <w:sz w:val="19"/>
        </w:rPr>
        <w:t>[A16] Correlation Ventures：约半数资本、约2/3笔交易回报&lt;1x；&lt;4%资本达≥10x。典型组合：60-70%回报≤1x、20-30%回1-5x、约5%回≥10x（幂律右偏）。</w:t>
      </w:r>
    </w:p>
    <w:p>
      <w:r>
        <w:rPr>
          <w:rFonts w:ascii="Helvetica Neue" w:hAnsi="Helvetica Neue" w:eastAsia="Microsoft YaHei"/>
          <w:sz w:val="19"/>
        </w:rPr>
        <w:t>[A17] 36氪援引上市公司数据：成立→上市最集中 10-15 年(占28.9%)、成立10年以上上市占75%、成立5年内上市仅约3-4%(近年趋零，2021约3%)；36氪/虎嗅：天使→独角兽平均51个月、独角兽→上市再平均2.75年 → 种子投资后5年内 IPO 现金退出≈0，须靠并购/老股转让兑现。</w:t>
      </w:r>
    </w:p>
    <w:p>
      <w:r>
        <w:rPr>
          <w:rFonts w:ascii="Helvetica Neue" w:hAnsi="Helvetica Neue" w:eastAsia="Microsoft YaHei"/>
          <w:sz w:val="19"/>
        </w:rPr>
        <w:t>[A18] 界面/清科：政府引导基金均值 DPI≈0.7（未回本），7年DPI=1为优秀标杆、9年为常态，2013年后成立基金多数 DPI&lt;1、中位约十年回本；AVP/Carta/thevcfactory：全球 VC 平均第8年才到 1x DPI，第5年 DPI 常仅 0.27-0.39x（即便最终8-11x的优秀基金，year-5 DPI 亦低）。</w:t>
      </w:r>
    </w:p>
    <w:p>
      <w:r>
        <w:rPr>
          <w:rFonts w:ascii="Helvetica Neue" w:hAnsi="Helvetica Neue" w:eastAsia="Microsoft YaHei"/>
          <w:sz w:val="19"/>
        </w:rPr>
        <w:t>[A19] 清科/投中/融中：2024 退出中 IPO≈36-48%、并购≈29-30%、老股转让市场不成熟且 2024 转让事件同比降15.5%；独角兽累计退出中仅约52%体面上市、近半并购/关停/估值下调。</w:t>
      </w:r>
    </w:p>
    <w:p>
      <w:r>
        <w:rPr>
          <w:rFonts w:ascii="Helvetica Neue" w:hAnsi="Helvetica Neue" w:eastAsia="Microsoft YaHei"/>
          <w:sz w:val="19"/>
        </w:rPr>
        <w:t>[A20] Zanbato：直接VC老股二级折扣由2023-12的约46%压缩至2024年末约3%（优质资产）；中国老股转让市场不成熟、缺体系化平台，折扣显著更深，建模取较深折扣并情景化。</w:t>
      </w:r>
    </w:p>
    <w:p>
      <w:pPr>
        <w:pStyle w:val="Heading1"/>
      </w:pPr>
      <w:r>
        <w:rPr>
          <w:rFonts w:ascii="Microsoft YaHei" w:hAnsi="Microsoft YaHei" w:eastAsia="Microsoft YaHei"/>
        </w:rPr>
        <w:t>附录 B　核心建模假设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color="D2D2D7" w:space="0"/>
          <w:bottom w:val="single" w:sz="6" w:color="D2D2D7" w:space="0"/>
          <w:insideH w:val="single" w:sz="4" w:color="E5E5EA" w:space="0"/>
          <w:left w:val="none" w:sz="0" w:space="0"/>
          <w:right w:val="none" w:sz="0" w:space="0"/>
          <w:insideV w:val="none" w:sz="0" w:space="0"/>
        </w:tblBorders>
      </w:tblPr>
      <w:tblGrid>
        <w:gridCol w:w="2986"/>
        <w:gridCol w:w="2986"/>
        <w:gridCol w:w="2986"/>
      </w:tblGrid>
      <w:tr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假设项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取值</w:t>
            </w:r>
          </w:p>
        </w:tc>
        <w:tc>
          <w:tcPr>
            <w:tcW w:type="dxa" w:w="2986"/>
            <w:shd w:val="clear" w:color="auto" w:fill="F5F5F7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/>
                <w:color w:val="1D1D1F"/>
                <w:sz w:val="17"/>
              </w:rPr>
              <w:t>依据/来源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TAM CAGR(保/基/乐)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22% / 30% / 38%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介于 LLM 云服务 CAGR 23.9% 与 AI API 35.2% / 36.7% 之间，分情景取值。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推理占API比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45% / 55% / 65%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推理（含 Chat/Agent/RAG 在线调用）为 API 市场主体，建模假设区间。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SAM量占比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30% / 42% / 55%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开放生态(OpenRouter 类) + 全球南方 + 中小开发者；参考亚洲付费占比升至 31%、开放模型占全球流量近 30% 等结构。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全市场实现价2026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$4.5/百万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全市场实现混合价(input/output、前沿+廉价加权)2026≈$3-6/百万，取 $4.5；由 $84B AI API 市场与公开 token 处理量数量级反推校准。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中国混合价2026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$0.45/百万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国产 token 混合售价 2026≈$0.45/百万（DeepSeek V3.2 $0.14/$0.28、MiniMax/GLM 略高加权）；2025→2026 价格约降 80%，预测期年降 20%-40%。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国产NPU单卡资本/功耗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$18k / 310W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国产 NPU(昇腾 910B 类)单卡资本开支与功耗低于进口卡；硅基流动等以国产算力降本 30-70%。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利用率(保/基/乐)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35% / 50% / 65%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推理集群常态利用率 35%-65%（峰谷不均、弹性冗余）。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电价(保/基/乐)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$0.070/0.050/0.035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国内绿电/大工业电价约 0.30-0.50 元/kWh（÷7.1 ≈ $0.042-0.070），绿电直供更低。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实现ASP年降(保/基/乐)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-25% / -12% / -5%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运营主体实现 ASP 年降；区别于市场商品价(-20%~-40%)。基准 -12% 反映产品结构持续上移（Agent/企业/长上下文/缓存命中/高价档）对冲商品通缩，为可执行的战略前提。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折现率(保/基/乐)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18% / 14% / 11%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早期算力/AI 基础设施 WACC 11%-18%（高风险高资本）。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退出EV/EBIT(保/基/乐)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6x / 9x / 11x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盈利型 AI 基础设施退出 EV/EBIT 约 6-12x（高增长高确定性取高值），分情景取值。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种子轮条款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投$10M @ 投前$40M(投后$50M,20%)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已确认：种子轮 $10M @ 投前 $40M（投后 $50M，初始持股 20%）。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Series A 融资额(保/基/乐)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$45M / $30M / $20M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A/B 轮金额按情景资助累计资本开支（基准累计 CapEx≈$199M，经营现金流覆盖其余）；保守情景烧钱更多、募资更大、稀释更重。投前估值按当年市值法 V[t]。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Series B 融资额(保/基/乐)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$90M / $60M / $35M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A/B 轮金额按情景资助累计资本开支（基准累计 CapEx≈$199M，经营现金流覆盖其余）；保守情景烧钱更多、募资更大、稀释更重。投前估值按当年市值法 V[t]。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种子估值法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隐含EV/Revenue(入场自洽+退出对齐)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隐含 EV/Revenue 倍数法（审计修正版）：年0市值=投后估值（入场自洽、不凭空跳涨），末年=退出 EV/EBIT×末年EBIT（与 FINANCE 退出口径对齐）；倍数在两端之间对数线性过渡。修正了旧版恒定倍数下乐观情景'年1市值数倍于投后估值'的不合理跳涨。EBIT≤0 时用困境 EV/Revenue≈1x 兜底，反映仍具收入的资产残值。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清算优先权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1x 非参与, pari-passu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行业标准：1x 非参与、pari-passu 清算优先权；下行时优先股可取 1x 回收，退出价值低于优先额总和时按投入额 pro-rata、普通股归零。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存活层 成长/僵尸/死亡(保)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18% / 25% / 57%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三状态概率按公允锚点标定：成长概率锚定'种子→A轮 15-50%（AI溢价取偏上）× A→B≈60%'链路，基准 0.28、保守 0.18、乐观 0.40；死亡概率参考 IT桔子天使死亡率 31%（全样本均值，种子档更高）与 Correlation'近半亏损'，基准 0.45、保守 0.57、乐观 0.32；其余为僵尸/停滞。死亡回收≈0（1x优先权但残值近零）、僵尸回收 0.15-0.70x（下行轮/并购，部分优先权保护）。目标：混合分布的 P(&lt;1x)/P(&gt;10x) 落入 Correlation/IT桔子经验区间（见交叉校验）。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存活层 成长/僵尸/死亡(基)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28% / 27% / 45%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三状态概率按公允锚点标定：成长概率锚定'种子→A轮 15-50%（AI溢价取偏上）× A→B≈60%'链路，基准 0.28、保守 0.18、乐观 0.40；死亡概率参考 IT桔子天使死亡率 31%（全样本均值，种子档更高）与 Correlation'近半亏损'，基准 0.45、保守 0.57、乐观 0.32；其余为僵尸/停滞。死亡回收≈0（1x优先权但残值近零）、僵尸回收 0.15-0.70x（下行轮/并购，部分优先权保护）。目标：混合分布的 P(&lt;1x)/P(&gt;10x) 落入 Correlation/IT桔子经验区间（见交叉校验）。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存活层 成长/僵尸/死亡(乐)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40% / 28% / 32%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三状态概率按公允锚点标定：成长概率锚定'种子→A轮 15-50%（AI溢价取偏上）× A→B≈60%'链路，基准 0.28、保守 0.18、乐观 0.40；死亡概率参考 IT桔子天使死亡率 31%（全样本均值，种子档更高）与 Correlation'近半亏损'，基准 0.45、保守 0.57、乐观 0.32；其余为僵尸/停滞。死亡回收≈0（1x优先权但残值近零）、僵尸回收 0.15-0.70x（下行轮/并购，部分优先权保护）。目标：混合分布的 P(&lt;1x)/P(&gt;10x) 落入 Correlation/IT桔子经验区间（见交叉校验）。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死亡/僵尸回收MOIC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≈0 / 0.15-0.70x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三状态概率按公允锚点标定：成长概率锚定'种子→A轮 15-50%（AI溢价取偏上）× A→B≈60%'链路，基准 0.28、保守 0.18、乐观 0.40；死亡概率参考 IT桔子天使死亡率 31%（全样本均值，种子档更高）与 Correlation'近半亏损'，基准 0.45、保守 0.57、乐观 0.32；其余为僵尸/停滞。死亡回收≈0（1x优先权但残值近零）、僵尸回收 0.15-0.70x（下行轮/并购，部分优先权保护）。目标：混合分布的 P(&lt;1x)/P(&gt;10x) 落入 Correlation/IT桔子经验区间（见交叉校验）。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第5年可变现概率L5(保/基/乐)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20% / 33% / 50%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锚定本土现实：种子后5年内 IPO 现金退出≈0（成立5年内上市仅约3-4%且种子在成立约2年后入场）；现金主要来自并购(占退出≈30%)与老股转让(市场不成熟、2024同比-15.5%)；对照全球 VC 第5年 DPI 仅 0.27-0.39x、第8年才到1x。故第5年成长企业可变现概率保守0.20/基准0.33/乐观0.50，且早年极低（liquidity_shape）。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逐年流动性形状(年1-5)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2%/8%/25%/55%/100%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锚定本土现实：种子后5年内 IPO 现金退出≈0（成立5年内上市仅约3-4%且种子在成立约2年后入场）；现金主要来自并购(占退出≈30%)与老股转让(市场不成熟、2024同比-15.5%)；对照全球 VC 第5年 DPI 仅 0.27-0.39x、第8年才到1x。故第5年成长企业可变现概率保守0.20/基准0.33/乐观0.50，且早年极低（liquidity_shape）。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流动性折扣(保/基/乐)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40% / 30% / 18%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Zanbato：直接VC老股折扣2023-12约46%→2024末约3%(优质)；中国老股市场不成熟、缺体系化平台，折扣更深，建模取 保守0.40/基准0.30/乐观0.18 并情景化。</w:t>
            </w:r>
          </w:p>
        </w:tc>
      </w:tr>
      <w:tr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死亡风险形状(年1-5)</w:t>
            </w:r>
          </w:p>
        </w:tc>
        <w:tc>
          <w:tcPr>
            <w:tcW w:type="dxa" w:w="2986"/>
          </w:tcPr>
          <w:p>
            <w:pPr>
              <w:spacing w:after="20" w:before="20"/>
              <w:jc w:val="center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8%/30%/60%/85%/100%</w:t>
            </w:r>
          </w:p>
        </w:tc>
        <w:tc>
          <w:tcPr>
            <w:tcW w:type="dxa" w:w="2986"/>
          </w:tcPr>
          <w:p>
            <w:pPr>
              <w:spacing w:after="20" w:before="20"/>
              <w:jc w:val="left"/>
            </w:pPr>
            <w:r/>
            <w:r>
              <w:rPr>
                <w:rFonts w:ascii="Helvetica Neue" w:hAnsi="Helvetica Neue" w:eastAsia="Microsoft YaHei"/>
                <w:b w:val="0"/>
                <w:sz w:val="17"/>
              </w:rPr>
              <w:t>财新/吴晓波：新设企业1年存活92%(8%死)、3年76%(24%死)；IT桔子：种子天使为倒闭最高发轮次(50.7%)。VC支持的种子烧钱更快，死亡集中于2-4年，年5收敛到情景死亡率。</w:t>
            </w:r>
          </w:p>
        </w:tc>
      </w:tr>
    </w:tbl>
    <w:p>
      <w:pPr>
        <w:pStyle w:val="Heading1"/>
      </w:pPr>
      <w:r>
        <w:rPr>
          <w:rFonts w:ascii="Microsoft YaHei" w:hAnsi="Microsoft YaHei" w:eastAsia="Microsoft YaHei"/>
        </w:rPr>
        <w:t>附录 C　可复现性说明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本报告全部数据与图表由以下开源脚本生成，输入假设集中于单一事实源 assumptions.py：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assumptions.py：全部输入假设与数据来源（单一事实源）；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model_market_sizing.py：市场规模 TAM/SAM/SOM 与量价交叉校验；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model_token_economics.py：Token 单位成本与毛利（DeepSeek 校准）；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model_competition.py：三阵营价格-份额 Logit 模型；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model_financials.py：五年财务、NPV/IRR、龙卷风与蒙特卡洛；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model_seed_returns.py：种子轮估值路径、cap table 稀释、1x 清算瀑布，以及【已实现现金（拿到钱）】退出层与 MOIC/胜率/盈亏比；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make_figures.py / build_report.py：图表与本文档生成；</w:t>
      </w:r>
    </w:p>
    <w:p>
      <w:pPr>
        <w:pStyle w:val="ListBullet"/>
      </w:pPr>
      <w:r>
        <w:rPr>
          <w:rFonts w:ascii="Helvetica Neue" w:hAnsi="Helvetica Neue" w:eastAsia="Microsoft YaHei"/>
          <w:sz w:val="22"/>
        </w:rPr>
        <w:t>run_all.py：一键复现全部产物（pip install -r requirements.txt &amp;&amp; python run_all.py）。</w:t>
      </w:r>
    </w:p>
    <w:p>
      <w:pPr>
        <w:ind w:firstLine="440"/>
        <w:jc w:val="both"/>
      </w:pPr>
      <w:r>
        <w:rPr>
          <w:rFonts w:ascii="Helvetica Neue" w:hAnsi="Helvetica Neue" w:eastAsia="Microsoft YaHei"/>
          <w:b w:val="0"/>
          <w:i w:val="0"/>
          <w:sz w:val="22"/>
        </w:rPr>
        <w:t>在洁净环境运行 run_all.py 可重建全部 CSV、图表与本 docx，数值与本报告完全一致。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1474" w:bottom="124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Helvetica Neue" w:hAnsi="Helvetica Neue" w:eastAsia="Microsoft YaHei"/>
        <w:sz w:val="18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4" w:space="1" w:color="D2D2D7"/>
      </w:pBdr>
    </w:pPr>
    <w:r>
      <w:rPr>
        <w:rFonts w:ascii="Helvetica Neue" w:hAnsi="Helvetica Neue" w:eastAsia="Microsoft YaHei"/>
        <w:color w:val="6E6E73"/>
        <w:sz w:val="17"/>
      </w:rPr>
      <w:t>AI 大模型 Token 出海 · 全球可行性研究与战略规划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Rule="auto" w:line="348" w:after="120"/>
    </w:pPr>
    <w:rPr>
      <w:rFonts w:ascii="Helvetica Neue" w:hAnsi="Helvetica Neue" w:eastAsia="Microsoft YaHei"/>
      <w:color w:val="1D1D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D1D1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6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D1D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80" w:after="16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0071E3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